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Зразок клопотання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КЛОПОТАННЯ</w:t>
        <w:br w:type="textWrapping"/>
      </w:r>
      <w:r w:rsidDel="00000000" w:rsidR="00000000" w:rsidRPr="00000000">
        <w:rPr>
          <w:rtl w:val="0"/>
        </w:rPr>
        <w:t xml:space="preserve">про надання витягу з ЄРДР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[Місто, дата]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Слідчому [ПІБ, посада, орган],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[ПІБ], [статус, напр. потерпілий у провадженні № 120250700000000XX], [паспорт, адреса, тел./email],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Клопочу про надання витягу з ЄРДР щодо кримінального провадження за № [номер], внесеного [дата] за фактом [короткий опис, напр. ч.1 ст. 185 КК України]. Витяг необхідний для реалізації моїх процесуальних прав за ст. 220 КПК України.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надати витяг [особисто/поштою/електронно] у строк, передбачений законом.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Додатки: 1) копія паспорта; 2) довіреність/ордер; 3) копія заяви.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[Підпис] [ПІБ]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4hou8byf4vm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Поради щодо подання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Подавайте клопотання письмово з відміткою про прийняття або рекомендованим листом; у разі відмови — скарга до слідчого судді (ст. 303 КПК). Термін розгляду — 3 доби, витяг видається негайно після перевірки права доступу.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