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Скарга на постанову про закриття кримінального провадження в Україні на грудень 2025 року подається заявником, потерпілим чи їх представниками до слідчого судді за місцем розслідування протягом 10 днів з дня отримання копії постанови відповідно до п. 3 ч. 1 ст. 303 КПК України. Розгляд відбувається у судовому засіданні протягом 72 годин (ст. 306 КПК), з можливістю скасування постанови та відновлення провадження.</w:t>
        <w:br w:type="textWrapping"/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r25zrqlnw73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Зразок скарги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СКАРГА</w:t>
        <w:br w:type="textWrapping"/>
      </w:r>
      <w:r w:rsidDel="00000000" w:rsidR="00000000" w:rsidRPr="00000000">
        <w:rPr>
          <w:rtl w:val="0"/>
        </w:rPr>
        <w:t xml:space="preserve"> на постанову про закриття кримінального провадження</w:t>
        <w:br w:type="textWrapping"/>
        <w:t xml:space="preserve"> (ст. 303 КПК України)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[Місто, дата]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Слідчому судді [назва суду]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[ПІБ скаржника], [паспорт, адреса, тел./email],</w:t>
        <w:br w:type="textWrapping"/>
        <w:t xml:space="preserve"> [статус: заявник/потерпілий].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Постановою слідчого [ПІБ, орган] від [дата] № [номер] кримінальне провадження № [ЄРДР] закрито за п. [номер] ч. 1 ст. 284 КПК.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Доводи: 1) підстави закриття відсутні, докази [опис] не спростовані; 2) розслідування неповне (ст. 284 КПК); 3) мотивування постанови формальне.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Прошу: 1) скасувати постанову; 2) зобов'язати продовжити розслідування.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Додатки: 1) копія постанови; 2) докази (заяви, експертизи); 3) квитанція сплати судового збору.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[Підпис] [ПІБ]</w:t>
      </w:r>
    </w:p>
    <w:p w:rsidR="00000000" w:rsidDel="00000000" w:rsidP="00000000" w:rsidRDefault="00000000" w:rsidRPr="00000000" w14:paraId="0000000C">
      <w:pPr>
        <w:spacing w:after="240" w:before="240" w:lineRule="auto"/>
        <w:ind w:left="720" w:firstLine="0"/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