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Скарга на неповернення тимчасово вилученого майна в Україні на грудень 2025 року подається до слідчого судді за місцем розслідування відповідно до п. 2 ч. 1 ст. 303 КПК України, якщо після 48 годин (для обшуку за ухвалою) чи наступного робочого дня (інші випадки) арешт не накладено, а майно не повернуто (ч. 5 ст. 171 КПК).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jracfbd4bzfo" w:id="0"/>
      <w:bookmarkEnd w:id="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Зразок скарги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СКАРГА</w:t>
        <w:br w:type="textWrapping"/>
      </w:r>
      <w:r w:rsidDel="00000000" w:rsidR="00000000" w:rsidRPr="00000000">
        <w:rPr>
          <w:rtl w:val="0"/>
        </w:rPr>
        <w:t xml:space="preserve"> на бездіяльність слідчого щодо неповернення тимчасово вилученого майна</w:t>
        <w:br w:type="textWrapping"/>
        <w:t xml:space="preserve"> (ст. 303 КПК України)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[Місто, дата]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Слідчому судді [назва суду м. [місто]]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[ПІБ скаржника], [паспортні дані, адреса, тел./email],</w:t>
        <w:br w:type="textWrapping"/>
        <w:t xml:space="preserve"> власник вилученого майна.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[Дата] під час [обшук/огляд] за ухвалою № [номер] вилучено: [перелік, напр. "ноутбук Samsung, сер. №XXX, готівка 100 000 грн"]. Протокол № [номер]. Клопотання про арешт не подано у 48-годинний строк.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Бездіяльність слідчого [ПІБ/посада, орган] порушує ч. 5 ст. 171 КПК.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Прошу: 1) визнати бездіяльність незаконною; 2) зобов'язати негайно повернути майно.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Додатки: 1) копія протоколу вилучення; 2) ухвала суду; 3) докази власності; 4) квитанція судового збору.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color w:val="1155cc"/>
          <w:u w:val="single"/>
        </w:rPr>
      </w:pPr>
      <w:r w:rsidDel="00000000" w:rsidR="00000000" w:rsidRPr="00000000">
        <w:rPr>
          <w:rtl w:val="0"/>
        </w:rPr>
        <w:t xml:space="preserve">[Підпис] [ПІБ]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