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27yuvcnf62l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Зразок заповнення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Ось типовий приклад заяви на основі актуальних рекомендацій 2025 року: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ЗАЯВА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[Адресат, наприклад: Начальнику ВП №2 Одеського РУП №2 ГУНП в Одеській області]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Я, [ПІБ заявника], [паспортні дані], що проживаю за адресою [адреса], тел. [номер], email [email],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 надати витяг з Єдиного реєстру досудових розслідувань щодо моєї заяви від [дата] про [короткий опис події, наприклад: "вчинення злочину за ч.1 ст. 438 КК України"], зареєстрованої за № [якщо відомо].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Витяг бажаю отримати [особисто/поштою/електронно] за вказаною адресою.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Додатки: 1) копія заяви; 2) копія паспорта.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[Дата] [Підпис] [ПІБ].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lee7m5yp5n9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Поради щодо подання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Подайте заяву особисто (з відміткою), рекомендованим листом або електронно до органу, де прийняли первинну заяву. Термін видачі витягу — невідкладно після внесення даних (до 24 год. за ст. 214 КПК), але на практиці може тривати довше; оскаржуйте затримки до слідчого судді.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